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8"/>
        <w:tblW w:w="9639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ind w:left="-142" w:right="-108"/>
              <w:jc w:val="center"/>
              <w:spacing w:after="0" w:line="240" w:lineRule="auto"/>
              <w:tabs>
                <w:tab w:val="left" w:pos="4712" w:leader="none"/>
              </w:tabs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(РОСРЕЕСТР)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</w:p>
          <w:p>
            <w:pPr>
              <w:ind w:left="-142" w:right="5669"/>
              <w:jc w:val="center"/>
              <w:spacing w:after="0" w:line="240" w:lineRule="auto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УПРАВЛЕНИЕ ФЕДЕРАЛЬНОЙ СЛУЖБЫ ГОСУДАРСТВЕННОЙ РЕГИСТРАЦИИ, 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КАДАСТРА И КАРТОГРАФИИ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ПО МОСКОВСКОЙ ОБЛАСТИ 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(Управление Росреестра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по Московской области)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 w:right="567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ул. Поклонная, д. 13, Москва, 121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293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br/>
              <w:t xml:space="preserve">тел. 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(495) 223-45-46, 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факс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 (495) 223-45-43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br/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e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-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mail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  <w:lang w:val="en-US"/>
              </w:rPr>
              <w:t xml:space="preserve">: </w:t>
            </w:r>
            <w:hyperlink r:id="rId11" w:tooltip="mailto:50_upr@rosreestr.ru" w:history="1">
              <w:r>
                <w:rPr>
                  <w:rStyle w:val="859"/>
                  <w:rFonts w:ascii="Times New Roman" w:hAnsi="Times New Roman" w:cs="Times New Roman"/>
                  <w:color w:val="0070c0"/>
                  <w:sz w:val="18"/>
                  <w:szCs w:val="18"/>
                  <w:u w:val="none"/>
                  <w:lang w:val="en-US"/>
                </w:rPr>
                <w:t xml:space="preserve">50_upr@rosreestr.ru</w:t>
              </w:r>
            </w:hyperlink>
            <w:r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r>
            <w:r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r>
            <w:r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r>
            <w:r>
              <w:rPr>
                <w:rStyle w:val="859"/>
                <w:rFonts w:ascii="Times New Roman" w:hAnsi="Times New Roman" w:cs="Times New Roman"/>
                <w:color w:val="0070c0"/>
                <w:sz w:val="18"/>
                <w:szCs w:val="18"/>
                <w:u w:val="none"/>
                <w:lang w:val="en-US"/>
              </w:rPr>
            </w:r>
          </w:p>
          <w:p>
            <w:pPr>
              <w:ind w:right="-108"/>
              <w:jc w:val="center"/>
              <w:spacing w:after="20" w:line="480" w:lineRule="auto"/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________________________ № ___________________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r>
          </w:p>
          <w:p>
            <w:pPr>
              <w:ind w:right="-108"/>
              <w:jc w:val="center"/>
            </w:pP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На №___________________ от ___________________</w:t>
            </w:r>
            <w:r/>
          </w:p>
        </w:tc>
        <w:tc>
          <w:tcPr>
            <w:tcW w:w="5103" w:type="dxa"/>
            <w:textDirection w:val="lrTb"/>
            <w:noWrap w:val="false"/>
          </w:tcPr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А СРО «Кадастровые инженеры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pPr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u w:val="single"/>
              </w:rPr>
            </w:r>
            <w:hyperlink r:id="rId12" w:tooltip="http://zao_mk@mail.ru" w:history="1"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u w:val="single"/>
                </w:rPr>
                <w:t xml:space="preserve">zao_mk@mail.ru</w:t>
              </w:r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u w:val="single"/>
                </w:rPr>
              </w:r>
            </w:hyperlink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r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Ассоциация СРО «ОПКД»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pPr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u w:val="single"/>
              </w:rPr>
            </w:r>
            <w:hyperlink r:id="rId13" w:tooltip="http://info@profcadastre.ru" w:history="1"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u w:val="single"/>
                </w:rPr>
                <w:t xml:space="preserve">info@profcadastre.ru</w:t>
              </w:r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u w:val="single"/>
                </w:rPr>
              </w:r>
            </w:hyperlink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r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singl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Ассоциация саморегулируемой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организации «Балтийское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объединение кадастровых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инженеров»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gulin@binsmol.ru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Ассоциация СРО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«Профессиональный Центр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Кадастровых инженеров»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(А СРО «ПрофЦКИ»)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Style w:val="859"/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color w:val="000000" w:themeColor="text1"/>
                <w:sz w:val="28"/>
                <w:szCs w:val="28"/>
              </w:rPr>
            </w:r>
            <w:hyperlink r:id="rId14" w:tooltip="http://ovchinnikova_alla@bk.ru" w:history="1"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u w:val="none"/>
                </w:rPr>
                <w:t xml:space="preserve">ovchinnikova_alla@bk.ru</w:t>
              </w:r>
              <w:r>
                <w:rPr>
                  <w:rStyle w:val="859"/>
                  <w:rFonts w:ascii="Tinos" w:hAnsi="Tinos" w:cs="Tinos"/>
                  <w:color w:val="000000" w:themeColor="text1"/>
                  <w:sz w:val="28"/>
                  <w:szCs w:val="28"/>
                  <w:u w:val="none"/>
                </w:rPr>
              </w:r>
              <w:r>
                <w:rPr>
                  <w:rStyle w:val="859"/>
                  <w:rFonts w:ascii="Tinos" w:hAnsi="Tinos" w:eastAsia="Tinos" w:cs="Tinos"/>
                  <w:color w:val="000000" w:themeColor="text1"/>
                  <w:sz w:val="28"/>
                  <w:szCs w:val="28"/>
                  <w:highlight w:val="none"/>
                  <w:u w:val="none"/>
                </w:rPr>
              </w:r>
            </w:hyperlink>
            <w:r>
              <w:rPr>
                <w:rStyle w:val="859"/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  <w:u w:val="none"/>
              </w:rPr>
            </w:r>
            <w:r>
              <w:rPr>
                <w:rStyle w:val="859"/>
                <w:rFonts w:ascii="Tinos" w:hAnsi="Tinos" w:eastAsia="Tinos" w:cs="Tinos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  <w:t xml:space="preserve">Ассоциация «Гильдия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  <w:t xml:space="preserve">кадастровых инженеров»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/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left="283" w:right="68" w:firstLine="0"/>
              <w:jc w:val="center"/>
              <w:spacing w:after="0" w:line="240" w:lineRule="auto"/>
              <w:rPr>
                <w:rFonts w:ascii="Tinos" w:hAnsi="Tinos" w:eastAsia="Tinos" w:cs="Tinos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  <w:t xml:space="preserve">info@kadastrsro.ru</w:t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  <w:r>
              <w:rPr>
                <w:rFonts w:ascii="Tinos" w:hAnsi="Tinos" w:eastAsia="Tinos" w:cs="Tinos"/>
                <w:sz w:val="28"/>
                <w:szCs w:val="28"/>
                <w:highlight w:val="none"/>
              </w:rPr>
            </w:r>
          </w:p>
          <w:p>
            <w:pPr>
              <w:ind w:left="425" w:right="68" w:firstLine="0"/>
              <w:jc w:val="center"/>
              <w:spacing w:after="0" w:line="240" w:lineRule="auto"/>
            </w:pPr>
            <w:r/>
            <w:r/>
          </w:p>
        </w:tc>
      </w:tr>
    </w:tbl>
    <w:p>
      <w:pPr>
        <w:contextualSpacing/>
        <w:ind w:right="-1"/>
        <w:spacing w:after="0" w:line="240" w:lineRule="auto"/>
        <w:tabs>
          <w:tab w:val="left" w:pos="3119" w:leader="none"/>
        </w:tabs>
        <w:rPr>
          <w:rFonts w:ascii="Tinos" w:hAnsi="Tinos" w:cs="Tinos"/>
          <w:sz w:val="28"/>
          <w:szCs w:val="28"/>
          <w:highlight w:val="none"/>
        </w:rPr>
      </w:pP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</w:rPr>
        <w:t xml:space="preserve">Приглашение на вебинар</w:t>
      </w:r>
      <w:r>
        <w:rPr>
          <w:rFonts w:ascii="Tinos" w:hAnsi="Tinos" w:cs="Tinos"/>
          <w:sz w:val="28"/>
          <w:szCs w:val="28"/>
          <w:highlight w:val="none"/>
        </w:rPr>
      </w:r>
      <w:r>
        <w:rPr>
          <w:rFonts w:ascii="Tinos" w:hAnsi="Tinos" w:cs="Tinos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32"/>
          <w:highlight w:val="none"/>
        </w:rPr>
      </w:r>
      <w:r>
        <w:rPr>
          <w:rFonts w:ascii="Tinos" w:hAnsi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firstLine="709"/>
        <w:jc w:val="both"/>
        <w:spacing w:line="240" w:lineRule="auto"/>
      </w:pPr>
      <w:r>
        <w:rPr>
          <w:rFonts w:ascii="Tinos" w:hAnsi="Tinos" w:eastAsia="Tinos" w:cs="Tinos"/>
          <w:sz w:val="28"/>
          <w:szCs w:val="28"/>
          <w:highlight w:val="none"/>
        </w:rPr>
        <w:t xml:space="preserve">В целях оказания методической помощи кадастровым инженерам, 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подготавливающим межевые/технические планы для осуществления учетно-регистрационных действий в отношении объектов недвижимости, 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расположенных на территории Московской области, Управлением Федеральной</w:t>
      </w:r>
      <w:r>
        <w:rPr>
          <w:rFonts w:ascii="Tinos" w:hAnsi="Tinos" w:eastAsia="Tinos" w:cs="Tinos"/>
          <w:sz w:val="28"/>
          <w:szCs w:val="28"/>
          <w:highlight w:val="none"/>
        </w:rPr>
      </w:r>
      <w:r/>
    </w:p>
    <w:p>
      <w:pPr>
        <w:contextualSpacing/>
        <w:ind w:firstLine="0"/>
        <w:jc w:val="both"/>
        <w:spacing w:line="240" w:lineRule="auto"/>
      </w:pPr>
      <w:r>
        <w:rPr>
          <w:rFonts w:ascii="Tinos" w:hAnsi="Tinos" w:eastAsia="Tinos" w:cs="Tinos"/>
          <w:sz w:val="28"/>
          <w:szCs w:val="28"/>
          <w:highlight w:val="none"/>
        </w:rPr>
        <w:t xml:space="preserve">службы государственной регистрации, кадастра и картографии по Московской</w:t>
      </w:r>
      <w:r>
        <w:rPr>
          <w:rFonts w:ascii="Tinos" w:hAnsi="Tinos" w:eastAsia="Tinos" w:cs="Tinos"/>
          <w:sz w:val="28"/>
          <w:szCs w:val="28"/>
          <w:highlight w:val="none"/>
        </w:rPr>
      </w:r>
      <w:r/>
    </w:p>
    <w:p>
      <w:pPr>
        <w:contextualSpacing/>
        <w:ind w:firstLine="0"/>
        <w:jc w:val="both"/>
        <w:spacing w:line="240" w:lineRule="auto"/>
      </w:pPr>
      <w:r>
        <w:rPr>
          <w:rFonts w:ascii="Tinos" w:hAnsi="Tinos" w:eastAsia="Tinos" w:cs="Tinos"/>
          <w:sz w:val="28"/>
          <w:szCs w:val="28"/>
          <w:highlight w:val="none"/>
        </w:rPr>
        <w:t xml:space="preserve">области 01.04.2026 в 15.00 запланировано проведение 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вебинара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.</w:t>
      </w:r>
      <w:r>
        <w:rPr>
          <w:rFonts w:ascii="Tinos" w:hAnsi="Tinos" w:eastAsia="Tinos" w:cs="Tinos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rPr>
          <w:rFonts w:ascii="Tinos" w:hAnsi="Tinos" w:cs="Tinos"/>
          <w:sz w:val="28"/>
          <w:szCs w:val="28"/>
          <w:highlight w:val="none"/>
        </w:rPr>
      </w:pP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</w:rPr>
        <w:t xml:space="preserve">Ссылка для подключения: </w:t>
      </w:r>
      <w:r>
        <w:rPr>
          <w:rFonts w:ascii="Tinos" w:hAnsi="Tinos" w:eastAsia="Tinos" w:cs="Tinos"/>
          <w:sz w:val="28"/>
          <w:szCs w:val="28"/>
          <w:highlight w:val="none"/>
        </w:rPr>
      </w:r>
      <w:hyperlink r:id="rId15" w:tooltip="https://conf.mosreg.ru/c/8586133550" w:history="1">
        <w:r>
          <w:rPr>
            <w:rStyle w:val="859"/>
            <w:rFonts w:ascii="Tinos" w:hAnsi="Tinos" w:eastAsia="Tinos" w:cs="Tinos"/>
            <w:color w:val="0563c1"/>
            <w:sz w:val="28"/>
            <w:szCs w:val="28"/>
            <w:highlight w:val="white"/>
            <w:u w:val="single"/>
          </w:rPr>
          <w:t xml:space="preserve">https://conf.mosreg.ru/c/8586133550</w:t>
        </w:r>
      </w:hyperlink>
      <w:r>
        <w:rPr>
          <w:rFonts w:ascii="Tinos" w:hAnsi="Tinos" w:cs="Tinos"/>
          <w:sz w:val="28"/>
          <w:szCs w:val="28"/>
          <w:highlight w:val="none"/>
        </w:rPr>
      </w:r>
      <w:r>
        <w:rPr>
          <w:rFonts w:ascii="Tinos" w:hAnsi="Tinos" w:cs="Tinos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</w:pPr>
      <w:r>
        <w:rPr>
          <w:rFonts w:ascii="Tinos" w:hAnsi="Tinos" w:eastAsia="Tinos" w:cs="Tinos"/>
          <w:sz w:val="28"/>
          <w:szCs w:val="28"/>
          <w:highlight w:val="none"/>
        </w:rPr>
        <w:t xml:space="preserve">Обращаем Ваше внимание, что при подключении необходимо ввести 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данные, позволяющие идентифицировать наименование саморегулируемой 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организации кадастровых инженеров и/или ФИО кадастрового инженера.</w:t>
      </w:r>
      <w:r>
        <w:rPr>
          <w:rFonts w:ascii="Tinos" w:hAnsi="Tinos" w:eastAsia="Tinos" w:cs="Tinos"/>
          <w:sz w:val="28"/>
          <w:szCs w:val="28"/>
          <w:highlight w:val="none"/>
        </w:rPr>
      </w:r>
      <w:r/>
    </w:p>
    <w:p>
      <w:pPr>
        <w:jc w:val="left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pStyle w:val="699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pStyle w:val="699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pStyle w:val="699"/>
        <w:rPr>
          <w:rFonts w:ascii="Tinos" w:hAnsi="Tinos" w:eastAsia="Tinos" w:cs="Tinos"/>
          <w:sz w:val="28"/>
          <w:szCs w:val="28"/>
          <w:highlight w:val="none"/>
        </w:rPr>
      </w:pPr>
      <w:r>
        <w:rPr>
          <w:rFonts w:ascii="Tinos" w:hAnsi="Tinos" w:eastAsia="Tinos" w:cs="Tinos"/>
          <w:sz w:val="28"/>
          <w:szCs w:val="28"/>
        </w:rPr>
        <w:t xml:space="preserve">Заместитель на</w:t>
      </w:r>
      <w:r>
        <w:rPr>
          <w:rFonts w:ascii="Tinos" w:hAnsi="Tinos" w:eastAsia="Tinos" w:cs="Tinos"/>
          <w:sz w:val="28"/>
          <w:szCs w:val="28"/>
        </w:rPr>
        <w:t xml:space="preserve">чальник</w:t>
      </w:r>
      <w:r>
        <w:rPr>
          <w:rFonts w:ascii="Tinos" w:hAnsi="Tinos" w:eastAsia="Tinos" w:cs="Tinos"/>
          <w:sz w:val="28"/>
          <w:szCs w:val="28"/>
          <w:highlight w:val="none"/>
        </w:rPr>
        <w:t xml:space="preserve">а</w:t>
      </w: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  <w:highlight w:val="none"/>
        </w:rPr>
      </w:r>
    </w:p>
    <w:p>
      <w:pPr>
        <w:pStyle w:val="699"/>
        <w:rPr>
          <w:rFonts w:ascii="PT Serif" w:hAnsi="PT Serif" w:cs="PT Serif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  <w:t xml:space="preserve">территориального </w:t>
      </w:r>
      <w:r>
        <w:rPr>
          <w:rFonts w:ascii="Tinos" w:hAnsi="Tinos" w:eastAsia="Tinos" w:cs="Tinos"/>
          <w:sz w:val="28"/>
          <w:szCs w:val="28"/>
        </w:rPr>
        <w:t xml:space="preserve">отдела </w:t>
      </w:r>
      <w:r>
        <w:rPr>
          <w:rFonts w:ascii="Tinos" w:hAnsi="Tinos" w:eastAsia="Tinos" w:cs="Tinos"/>
          <w:sz w:val="28"/>
          <w:szCs w:val="28"/>
        </w:rPr>
        <w:t xml:space="preserve">№ 2</w:t>
      </w:r>
      <w:r>
        <w:rPr>
          <w:rFonts w:ascii="Tinos" w:hAnsi="Tinos" w:eastAsia="Tinos" w:cs="Tinos"/>
          <w:sz w:val="28"/>
          <w:szCs w:val="28"/>
        </w:rPr>
        <w:t xml:space="preserve">                                       </w:t>
      </w:r>
      <w:r>
        <w:rPr>
          <w:rFonts w:ascii="Tinos" w:hAnsi="Tinos" w:eastAsia="Tinos" w:cs="Tinos"/>
          <w:sz w:val="28"/>
          <w:szCs w:val="28"/>
        </w:rPr>
        <w:t xml:space="preserve">                     А</w:t>
      </w:r>
      <w:r>
        <w:rPr>
          <w:rFonts w:ascii="Tinos" w:hAnsi="Tinos" w:eastAsia="Tinos" w:cs="Tinos"/>
          <w:sz w:val="28"/>
          <w:szCs w:val="28"/>
        </w:rPr>
        <w:t xml:space="preserve">.С. Рыбников</w:t>
      </w:r>
      <w:r>
        <w:rPr>
          <w:rFonts w:ascii="PT Serif" w:hAnsi="PT Serif" w:cs="PT Serif"/>
          <w:sz w:val="28"/>
          <w:szCs w:val="28"/>
        </w:rPr>
      </w:r>
      <w:r>
        <w:rPr>
          <w:rFonts w:ascii="PT Serif" w:hAnsi="PT Serif" w:cs="PT Serif"/>
          <w:sz w:val="28"/>
          <w:szCs w:val="28"/>
        </w:rPr>
      </w:r>
    </w:p>
    <w:p>
      <w:pPr>
        <w:jc w:val="right"/>
        <w:spacing w:after="0" w:line="240" w:lineRule="auto"/>
        <w:rPr>
          <w:rFonts w:ascii="PT Serif" w:hAnsi="PT Serif" w:cs="PT Serif"/>
          <w:sz w:val="20"/>
          <w:szCs w:val="20"/>
        </w:rPr>
      </w:pPr>
      <w:r>
        <w:rPr>
          <w:rFonts w:ascii="PT Serif" w:hAnsi="PT Serif" w:eastAsia="PT Serif" w:cs="PT Serif"/>
          <w:sz w:val="20"/>
          <w:szCs w:val="20"/>
          <w:lang w:eastAsia="ru-RU"/>
        </w:rPr>
      </w:r>
      <w:r>
        <w:rPr>
          <w:rFonts w:ascii="PT Serif" w:hAnsi="PT Serif" w:cs="PT Serif"/>
          <w:sz w:val="20"/>
          <w:szCs w:val="20"/>
        </w:rPr>
      </w:r>
      <w:r>
        <w:rPr>
          <w:rFonts w:ascii="PT Serif" w:hAnsi="PT Serif" w:cs="PT Serif"/>
          <w:sz w:val="20"/>
          <w:szCs w:val="20"/>
        </w:rPr>
      </w:r>
    </w:p>
    <w:p>
      <w:pPr>
        <w:jc w:val="both"/>
        <w:spacing w:after="0" w:line="240" w:lineRule="auto"/>
        <w:rPr>
          <w:rFonts w:ascii="Tinos" w:hAnsi="Tinos" w:eastAsia="Tinos" w:cs="Tinos"/>
          <w:sz w:val="20"/>
          <w:szCs w:val="20"/>
          <w:highlight w:val="none"/>
          <w:lang w:eastAsia="ru-RU"/>
        </w:rPr>
      </w:pPr>
      <w:r>
        <w:rPr>
          <w:rFonts w:ascii="Tinos" w:hAnsi="Tinos" w:eastAsia="Tinos" w:cs="Tinos"/>
          <w:sz w:val="20"/>
          <w:szCs w:val="20"/>
          <w:lang w:eastAsia="ru-RU"/>
        </w:rPr>
        <w:t xml:space="preserve">Осипова О.Д </w:t>
      </w:r>
      <w:r>
        <w:rPr>
          <w:rFonts w:ascii="Tinos" w:hAnsi="Tinos" w:eastAsia="Tinos" w:cs="Tinos"/>
          <w:sz w:val="20"/>
          <w:szCs w:val="20"/>
          <w:lang w:eastAsia="ru-RU"/>
        </w:rPr>
        <w:t xml:space="preserve">8 (495) 223-41-53</w:t>
      </w:r>
      <w:r>
        <w:rPr>
          <w:rFonts w:ascii="Tinos" w:hAnsi="Tinos" w:eastAsia="Tinos" w:cs="Tinos"/>
          <w:sz w:val="20"/>
          <w:szCs w:val="20"/>
          <w:lang w:eastAsia="ru-RU"/>
        </w:rPr>
        <w:t xml:space="preserve"> </w:t>
      </w:r>
      <w:r>
        <w:rPr>
          <w:rFonts w:ascii="Tinos" w:hAnsi="Tinos" w:eastAsia="Tinos" w:cs="Tinos"/>
          <w:sz w:val="20"/>
          <w:szCs w:val="20"/>
          <w:highlight w:val="none"/>
          <w:lang w:eastAsia="ru-RU"/>
        </w:rPr>
      </w:r>
      <w:r>
        <w:rPr>
          <w:rFonts w:ascii="Tinos" w:hAnsi="Tinos" w:eastAsia="Tinos" w:cs="Tinos"/>
          <w:sz w:val="20"/>
          <w:szCs w:val="20"/>
          <w:highlight w:val="none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06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erif">
    <w:panose1 w:val="020A0603040505020204"/>
  </w:font>
  <w:font w:name="Tinos">
    <w:panose1 w:val="020206030504050203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75169288"/>
      <w:docPartObj>
        <w:docPartGallery w:val="Page Numbers (Top of Page)"/>
        <w:docPartUnique w:val="true"/>
      </w:docPartObj>
      <w:rPr/>
    </w:sdtPr>
    <w:sdtContent>
      <w:p>
        <w:pPr>
          <w:pStyle w:val="86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20" w:hanging="450"/>
      </w:pPr>
      <w:rPr>
        <w:rFonts w:hint="default"/>
        <w:b/>
        <w:i w:val="0"/>
        <w:iCs/>
      </w:rPr>
    </w:lvl>
    <w:lvl w:ilvl="1">
      <w:start w:val="2"/>
      <w:numFmt w:val="decimal"/>
      <w:isLgl w:val="false"/>
      <w:suff w:val="tab"/>
      <w:lvlText w:val="%1.%2."/>
      <w:lvlJc w:val="left"/>
      <w:pPr>
        <w:ind w:left="2138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525" w:hanging="720"/>
      </w:pPr>
      <w:rPr>
        <w:rFonts w:hint="default"/>
        <w:i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594" w:hanging="1080"/>
      </w:pPr>
      <w:rPr>
        <w:rFonts w:hint="default"/>
        <w:i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303" w:hanging="1080"/>
      </w:pPr>
      <w:rPr>
        <w:rFonts w:hint="default"/>
        <w:i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372" w:hanging="1440"/>
      </w:pPr>
      <w:rPr>
        <w:rFonts w:hint="default"/>
        <w:i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1441" w:hanging="1800"/>
      </w:pPr>
      <w:rPr>
        <w:rFonts w:hint="default"/>
        <w:i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150" w:hanging="1800"/>
      </w:pPr>
      <w:rPr>
        <w:rFonts w:hint="default"/>
        <w:i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19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5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4"/>
    <w:next w:val="8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5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5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5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5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5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5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5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4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4"/>
    <w:next w:val="854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5"/>
    <w:link w:val="700"/>
    <w:uiPriority w:val="10"/>
    <w:rPr>
      <w:sz w:val="48"/>
      <w:szCs w:val="48"/>
    </w:rPr>
  </w:style>
  <w:style w:type="paragraph" w:styleId="702">
    <w:name w:val="Subtitle"/>
    <w:basedOn w:val="854"/>
    <w:next w:val="854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5"/>
    <w:link w:val="702"/>
    <w:uiPriority w:val="11"/>
    <w:rPr>
      <w:sz w:val="24"/>
      <w:szCs w:val="24"/>
    </w:rPr>
  </w:style>
  <w:style w:type="paragraph" w:styleId="704">
    <w:name w:val="Quote"/>
    <w:basedOn w:val="854"/>
    <w:next w:val="854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4"/>
    <w:next w:val="854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5"/>
    <w:link w:val="862"/>
    <w:uiPriority w:val="99"/>
  </w:style>
  <w:style w:type="character" w:styleId="709">
    <w:name w:val="Footer Char"/>
    <w:basedOn w:val="855"/>
    <w:link w:val="864"/>
    <w:uiPriority w:val="99"/>
  </w:style>
  <w:style w:type="paragraph" w:styleId="710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864"/>
    <w:uiPriority w:val="99"/>
  </w:style>
  <w:style w:type="table" w:styleId="712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1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2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3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4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5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6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200" w:line="276" w:lineRule="auto"/>
    </w:p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table" w:styleId="858">
    <w:name w:val="Table Grid"/>
    <w:basedOn w:val="856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59">
    <w:name w:val="Hyperlink"/>
    <w:basedOn w:val="855"/>
    <w:uiPriority w:val="99"/>
    <w:unhideWhenUsed/>
    <w:rPr>
      <w:color w:val="0563c1" w:themeColor="hyperlink"/>
      <w:u w:val="single"/>
    </w:rPr>
  </w:style>
  <w:style w:type="paragraph" w:styleId="860">
    <w:name w:val="Balloon Text"/>
    <w:basedOn w:val="854"/>
    <w:link w:val="86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855"/>
    <w:link w:val="860"/>
    <w:uiPriority w:val="99"/>
    <w:semiHidden/>
    <w:rPr>
      <w:rFonts w:ascii="Segoe UI" w:hAnsi="Segoe UI" w:cs="Segoe UI"/>
      <w:sz w:val="18"/>
      <w:szCs w:val="18"/>
    </w:rPr>
  </w:style>
  <w:style w:type="paragraph" w:styleId="862">
    <w:name w:val="Head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5"/>
    <w:link w:val="862"/>
    <w:uiPriority w:val="99"/>
  </w:style>
  <w:style w:type="paragraph" w:styleId="864">
    <w:name w:val="Footer"/>
    <w:basedOn w:val="854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5"/>
    <w:link w:val="864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50_upr@rosreestr.ru" TargetMode="External"/><Relationship Id="rId12" Type="http://schemas.openxmlformats.org/officeDocument/2006/relationships/hyperlink" Target="http://zao_mk@mail.ru" TargetMode="External"/><Relationship Id="rId13" Type="http://schemas.openxmlformats.org/officeDocument/2006/relationships/hyperlink" Target="http://info@profcadastre.ru" TargetMode="External"/><Relationship Id="rId14" Type="http://schemas.openxmlformats.org/officeDocument/2006/relationships/hyperlink" Target="http://ovchinnikova_alla@bk.ru" TargetMode="External"/><Relationship Id="rId15" Type="http://schemas.openxmlformats.org/officeDocument/2006/relationships/hyperlink" Target="https://conf.mosreg.ru/c/858613355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EA871-3A1F-4983-BD4D-119EF1EC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Рязанцева Татьяна Анатольевна</dc:creator>
  <cp:revision>38</cp:revision>
  <dcterms:created xsi:type="dcterms:W3CDTF">2024-09-17T14:43:00Z</dcterms:created>
  <dcterms:modified xsi:type="dcterms:W3CDTF">2026-03-30T07:46:57Z</dcterms:modified>
</cp:coreProperties>
</file>